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553F1C" w14:textId="77777777" w:rsidR="00F037ED" w:rsidRDefault="00000000">
      <w:pPr>
        <w:jc w:val="both"/>
        <w:rPr>
          <w:rFonts w:ascii="Calibri" w:eastAsia="Calibri" w:hAnsi="Calibri" w:cs="Calibri"/>
        </w:rPr>
      </w:pPr>
      <w:bookmarkStart w:id="0" w:name="_gjdgxs" w:colFirst="0" w:colLast="0"/>
      <w:bookmarkEnd w:id="0"/>
      <w:r>
        <w:rPr>
          <w:rFonts w:ascii="Calibri" w:eastAsia="Calibri" w:hAnsi="Calibri" w:cs="Calibri"/>
        </w:rPr>
        <w:t>Warszawa, 06 czerwca 2024</w:t>
      </w:r>
    </w:p>
    <w:p w14:paraId="2562C401" w14:textId="77777777" w:rsidR="00F037ED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Informacja prasowa</w:t>
      </w:r>
    </w:p>
    <w:p w14:paraId="590621FE" w14:textId="77777777" w:rsidR="00F037ED" w:rsidRDefault="00000000">
      <w:pPr>
        <w:spacing w:line="276" w:lineRule="auto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</w:t>
      </w:r>
    </w:p>
    <w:p w14:paraId="5B52FFFD" w14:textId="77777777" w:rsidR="00F037ED" w:rsidRDefault="00F037ED">
      <w:pPr>
        <w:jc w:val="both"/>
        <w:rPr>
          <w:rFonts w:ascii="Calibri" w:eastAsia="Calibri" w:hAnsi="Calibri" w:cs="Calibri"/>
          <w:b/>
        </w:rPr>
      </w:pPr>
    </w:p>
    <w:p w14:paraId="1A336A46" w14:textId="77777777" w:rsidR="00F037ED" w:rsidRDefault="00000000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Synergia nauki, zdrowia i rozwoju. Eksperci Wydziału Zarządzania UW o wyzwaniach w branży farmaceutycznej</w:t>
      </w:r>
    </w:p>
    <w:p w14:paraId="4180BF58" w14:textId="77777777" w:rsidR="00F037ED" w:rsidRDefault="00F037ED">
      <w:pPr>
        <w:jc w:val="both"/>
        <w:rPr>
          <w:rFonts w:ascii="Calibri" w:eastAsia="Calibri" w:hAnsi="Calibri" w:cs="Calibri"/>
          <w:b/>
        </w:rPr>
      </w:pPr>
    </w:p>
    <w:p w14:paraId="03396A7D" w14:textId="77777777" w:rsidR="00F037ED" w:rsidRDefault="00000000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 o lekach biologicznych muszą wiedzieć farmaceuci, jak „reklamować” produkty farmaceutyczne, kiedy zastosowanie leku w trybie off-</w:t>
      </w:r>
      <w:proofErr w:type="spellStart"/>
      <w:r>
        <w:rPr>
          <w:rFonts w:ascii="Calibri" w:eastAsia="Calibri" w:hAnsi="Calibri" w:cs="Calibri"/>
          <w:b/>
        </w:rPr>
        <w:t>label</w:t>
      </w:r>
      <w:proofErr w:type="spellEnd"/>
      <w:r>
        <w:rPr>
          <w:rFonts w:ascii="Calibri" w:eastAsia="Calibri" w:hAnsi="Calibri" w:cs="Calibri"/>
          <w:b/>
        </w:rPr>
        <w:t xml:space="preserve"> jest zasadne i jak można sklasyfikować konsumentów odwiedzających apteki - to tylko kilka zagadnień poruszonych w trakcie konferencji Medycyna, Farmacja i Biznes - Synergia Nauki, Zdrowia i Rozwoju, zorganizowanej przez Wydział Zarządzania Uniwersytetu Warszawskiego.</w:t>
      </w:r>
    </w:p>
    <w:p w14:paraId="4CB6F6E1" w14:textId="77777777" w:rsidR="00F037ED" w:rsidRDefault="00F037ED">
      <w:pPr>
        <w:jc w:val="both"/>
        <w:rPr>
          <w:rFonts w:ascii="Calibri" w:eastAsia="Calibri" w:hAnsi="Calibri" w:cs="Calibri"/>
        </w:rPr>
      </w:pPr>
    </w:p>
    <w:p w14:paraId="2229FBCC" w14:textId="5B67A625" w:rsidR="00F037ED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Rynek farmaceutyczny przechodzi na przestrzeni ostatnich lat dynamiczne zmiany, napędzane postępami w</w:t>
      </w:r>
      <w:r w:rsidR="0021390E">
        <w:rPr>
          <w:rFonts w:ascii="Calibri" w:eastAsia="Calibri" w:hAnsi="Calibri" w:cs="Calibri"/>
        </w:rPr>
        <w:t> </w:t>
      </w:r>
      <w:r>
        <w:rPr>
          <w:rFonts w:ascii="Calibri" w:eastAsia="Calibri" w:hAnsi="Calibri" w:cs="Calibri"/>
        </w:rPr>
        <w:t>nauce, zmieniającymi się potrzebami zdrowotnymi oraz ewolucją biznesowych strategii. Innowacje w</w:t>
      </w:r>
      <w:r w:rsidR="0021390E">
        <w:rPr>
          <w:rFonts w:ascii="Calibri" w:eastAsia="Calibri" w:hAnsi="Calibri" w:cs="Calibri"/>
        </w:rPr>
        <w:t> </w:t>
      </w:r>
      <w:r>
        <w:rPr>
          <w:rFonts w:ascii="Calibri" w:eastAsia="Calibri" w:hAnsi="Calibri" w:cs="Calibri"/>
        </w:rPr>
        <w:t>badaniach i rozwoju, starzejąca się populacja oraz nowe regulacje kształtują przyszłość tej fascynującej branży. Medycyna i biznes to kluczowe sfery dla dobrego funkcjonowania i rozwoju społeczeństwa. W dzisiejszych czasach, nauka i przedsiębiorczość są ściśle powiązane, a budowanie mostów między nimi, dzielenie się pomysłami, wiedzą i zasobami, jest niezbędne dla postępu. Tematyka ta była głównym punktem dyskusji podczas konferencji „Medycyna, Farmacja i Biznes – Synergia Nauki, Zdrowia i Rozwoju”, która odbyła się na Wydziale Zarządzania Uniwersytetu Warszawskiego.</w:t>
      </w:r>
    </w:p>
    <w:p w14:paraId="3FAD745C" w14:textId="77777777" w:rsidR="00F037ED" w:rsidRDefault="00F037ED">
      <w:pPr>
        <w:jc w:val="both"/>
        <w:rPr>
          <w:rFonts w:ascii="Calibri" w:eastAsia="Calibri" w:hAnsi="Calibri" w:cs="Calibri"/>
        </w:rPr>
      </w:pPr>
    </w:p>
    <w:p w14:paraId="7C55D08C" w14:textId="6AC95EEB" w:rsidR="00F037ED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 xml:space="preserve">„Panel poświęcony ewolucji </w:t>
      </w:r>
      <w:proofErr w:type="spellStart"/>
      <w:r>
        <w:rPr>
          <w:rFonts w:ascii="Calibri" w:eastAsia="Calibri" w:hAnsi="Calibri" w:cs="Calibri"/>
          <w:i/>
        </w:rPr>
        <w:t>zachowań</w:t>
      </w:r>
      <w:proofErr w:type="spellEnd"/>
      <w:r>
        <w:rPr>
          <w:rFonts w:ascii="Calibri" w:eastAsia="Calibri" w:hAnsi="Calibri" w:cs="Calibri"/>
          <w:i/>
        </w:rPr>
        <w:t xml:space="preserve"> konsumenckich w aptekach pokazuje, jak wiele osób dziś aktywnie i</w:t>
      </w:r>
      <w:r w:rsidR="0021390E">
        <w:rPr>
          <w:rFonts w:ascii="Calibri" w:eastAsia="Calibri" w:hAnsi="Calibri" w:cs="Calibri"/>
          <w:i/>
        </w:rPr>
        <w:t> </w:t>
      </w:r>
      <w:r>
        <w:rPr>
          <w:rFonts w:ascii="Calibri" w:eastAsia="Calibri" w:hAnsi="Calibri" w:cs="Calibri"/>
          <w:i/>
        </w:rPr>
        <w:t>świadomie poszukuje rozwiązań, które pozwolą żyć dłużej w zdrowiu. Z przeprowadzonych badań wynika, że możemy podzielić Polaków na lojalnych pacjentów, zdrowych konsumpcyjnych entuzjastów i pragmatycznych chorych. To ciekawe dane, ponieważ pokazują one nasze podejście do dobrostanu zdrowotnego, ale też perspektywę rozwoju rynku farmaceutycznego i zapotrzebowanie konsumentów. Dzięki prelekcji poświęconej</w:t>
      </w:r>
      <w:r w:rsidR="0021390E">
        <w:rPr>
          <w:rFonts w:ascii="Calibri" w:eastAsia="Calibri" w:hAnsi="Calibri" w:cs="Calibri"/>
          <w:i/>
        </w:rPr>
        <w:t> </w:t>
      </w:r>
      <w:r>
        <w:rPr>
          <w:rFonts w:ascii="Calibri" w:eastAsia="Calibri" w:hAnsi="Calibri" w:cs="Calibri"/>
          <w:i/>
        </w:rPr>
        <w:t xml:space="preserve">reklamie, mogliśmy natomiast zgłębić zagadnienia prawne związane z tą dziedziną. Zdrowie ludzi, rozwój nauki i możliwości komercjalizacji są dziś w synergii jak nigdy wcześniej” </w:t>
      </w:r>
      <w:r>
        <w:rPr>
          <w:rFonts w:ascii="Calibri" w:eastAsia="Calibri" w:hAnsi="Calibri" w:cs="Calibri"/>
        </w:rPr>
        <w:t>- mówi dr hab. Monika Skorek, prof. UW, Prodziekan Wydziału Zarządzania UW i kierownik studiów podyplomowych Marketing Produktów Farmaceutycznych.</w:t>
      </w:r>
    </w:p>
    <w:p w14:paraId="032E96FB" w14:textId="77777777" w:rsidR="00F037ED" w:rsidRDefault="00F037ED">
      <w:pPr>
        <w:jc w:val="both"/>
        <w:rPr>
          <w:rFonts w:ascii="Calibri" w:eastAsia="Calibri" w:hAnsi="Calibri" w:cs="Calibri"/>
        </w:rPr>
      </w:pPr>
    </w:p>
    <w:p w14:paraId="2D62C213" w14:textId="77777777" w:rsidR="00F037ED" w:rsidRDefault="00000000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Farmacja nowej generacji</w:t>
      </w:r>
    </w:p>
    <w:p w14:paraId="40BC10CC" w14:textId="77777777" w:rsidR="00F037ED" w:rsidRDefault="00F037ED">
      <w:pPr>
        <w:jc w:val="both"/>
        <w:rPr>
          <w:rFonts w:ascii="Calibri" w:eastAsia="Calibri" w:hAnsi="Calibri" w:cs="Calibri"/>
        </w:rPr>
      </w:pPr>
    </w:p>
    <w:p w14:paraId="09DD2DF1" w14:textId="77777777" w:rsidR="00F037ED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Pierwszy panel tematyczny, prowadzony przez dr n. farm. Annę Kowalczuk, zatytułowany „Farmacja nowej generacji oraz doskonałość w zarządzaniu – ludzie, marka własna, projekty naukowe”, obejmował tematy związane z </w:t>
      </w:r>
      <w:proofErr w:type="spellStart"/>
      <w:r>
        <w:rPr>
          <w:rFonts w:ascii="Calibri" w:eastAsia="Calibri" w:hAnsi="Calibri" w:cs="Calibri"/>
        </w:rPr>
        <w:t>project</w:t>
      </w:r>
      <w:proofErr w:type="spellEnd"/>
      <w:r>
        <w:rPr>
          <w:rFonts w:ascii="Calibri" w:eastAsia="Calibri" w:hAnsi="Calibri" w:cs="Calibri"/>
        </w:rPr>
        <w:t xml:space="preserve"> managementem i promocją marki własnej w kontekście pracy naukowej. Uczestnicy mieli okazję dowiedzieć się o najnowszych lekach nowej generacji oraz o metodach zarządzania projektami naukowymi.</w:t>
      </w:r>
    </w:p>
    <w:p w14:paraId="05382323" w14:textId="77777777" w:rsidR="00F037ED" w:rsidRDefault="00F037ED">
      <w:pPr>
        <w:jc w:val="both"/>
        <w:rPr>
          <w:rFonts w:ascii="Calibri" w:eastAsia="Calibri" w:hAnsi="Calibri" w:cs="Calibri"/>
        </w:rPr>
      </w:pPr>
    </w:p>
    <w:p w14:paraId="55A8AC1D" w14:textId="77777777" w:rsidR="00F037ED" w:rsidRDefault="00000000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Wyzwania okresu przejściowego</w:t>
      </w:r>
    </w:p>
    <w:p w14:paraId="42DFA96E" w14:textId="77777777" w:rsidR="00F037ED" w:rsidRDefault="00F037ED">
      <w:pPr>
        <w:jc w:val="both"/>
        <w:rPr>
          <w:rFonts w:ascii="Calibri" w:eastAsia="Calibri" w:hAnsi="Calibri" w:cs="Calibri"/>
        </w:rPr>
      </w:pPr>
    </w:p>
    <w:p w14:paraId="1973B316" w14:textId="77777777" w:rsidR="00F037ED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Druga część wydarzenia, „Wyzwania okresu przejściowego dla producentów wyrobów medycznych wg rozporządzeń MDR i IVDR”, skoncentrowała się na regulacjach prawnych dotyczących wyrobów medycznych. Dyskusje dotyczyły nowych wymogów i wyzwań, przed którymi stoją producenci w obliczu nowych regulacji.</w:t>
      </w:r>
    </w:p>
    <w:p w14:paraId="06AA0978" w14:textId="77777777" w:rsidR="00F037ED" w:rsidRDefault="00F037ED">
      <w:pPr>
        <w:jc w:val="both"/>
        <w:rPr>
          <w:rFonts w:ascii="Calibri" w:eastAsia="Calibri" w:hAnsi="Calibri" w:cs="Calibri"/>
        </w:rPr>
      </w:pPr>
    </w:p>
    <w:p w14:paraId="4439F618" w14:textId="77777777" w:rsidR="00F037ED" w:rsidRDefault="00000000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Profesjonalna apteka</w:t>
      </w:r>
    </w:p>
    <w:p w14:paraId="7EA2C4B7" w14:textId="77777777" w:rsidR="00F037ED" w:rsidRDefault="00F037ED">
      <w:pPr>
        <w:jc w:val="both"/>
        <w:rPr>
          <w:rFonts w:ascii="Calibri" w:eastAsia="Calibri" w:hAnsi="Calibri" w:cs="Calibri"/>
        </w:rPr>
      </w:pPr>
    </w:p>
    <w:p w14:paraId="4561A40E" w14:textId="77777777" w:rsidR="00F037ED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 panelu „Profesjonalna Apteka: aspekty prawne, psychologiczne i konsumenckie” zaprezentowane zostały wyniki badań dotyczących </w:t>
      </w:r>
      <w:proofErr w:type="spellStart"/>
      <w:r>
        <w:rPr>
          <w:rFonts w:ascii="Calibri" w:eastAsia="Calibri" w:hAnsi="Calibri" w:cs="Calibri"/>
        </w:rPr>
        <w:t>zachowań</w:t>
      </w:r>
      <w:proofErr w:type="spellEnd"/>
      <w:r>
        <w:rPr>
          <w:rFonts w:ascii="Calibri" w:eastAsia="Calibri" w:hAnsi="Calibri" w:cs="Calibri"/>
        </w:rPr>
        <w:t xml:space="preserve"> klientów aptek. Omówiono również innowacyjne narzędzia marketingowe, które znajdują zastosowanie na rynku farmaceutycznym, wpływając na interakcje z klientami i poprawę jakości świadczonych usług.</w:t>
      </w:r>
    </w:p>
    <w:p w14:paraId="0C54C22D" w14:textId="77777777" w:rsidR="00F037ED" w:rsidRDefault="00F037ED">
      <w:pPr>
        <w:jc w:val="both"/>
        <w:rPr>
          <w:rFonts w:ascii="Calibri" w:eastAsia="Calibri" w:hAnsi="Calibri" w:cs="Calibri"/>
          <w:b/>
        </w:rPr>
      </w:pPr>
    </w:p>
    <w:p w14:paraId="77A95D90" w14:textId="77777777" w:rsidR="0021390E" w:rsidRDefault="0021390E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br w:type="page"/>
      </w:r>
    </w:p>
    <w:p w14:paraId="2AA9FDCF" w14:textId="0950B12A" w:rsidR="00F037ED" w:rsidRDefault="00000000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Ewolucja opieki zdrowotnej</w:t>
      </w:r>
    </w:p>
    <w:p w14:paraId="567AB049" w14:textId="77777777" w:rsidR="00F037ED" w:rsidRDefault="00F037ED">
      <w:pPr>
        <w:jc w:val="both"/>
        <w:rPr>
          <w:rFonts w:ascii="Calibri" w:eastAsia="Calibri" w:hAnsi="Calibri" w:cs="Calibri"/>
        </w:rPr>
      </w:pPr>
    </w:p>
    <w:p w14:paraId="3BC9C24D" w14:textId="44860DDC" w:rsidR="00F037ED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Konferencję zamknął panel zatytułowany „Ewolucja opieki zdrowotnej - finanse, przekształcenia, świadczenie usług zdrowotnych” prowadzony przez prof. dr hab. n. med. Józefa </w:t>
      </w:r>
      <w:proofErr w:type="spellStart"/>
      <w:r>
        <w:rPr>
          <w:rFonts w:ascii="Calibri" w:eastAsia="Calibri" w:hAnsi="Calibri" w:cs="Calibri"/>
        </w:rPr>
        <w:t>Haczyńskiego</w:t>
      </w:r>
      <w:proofErr w:type="spellEnd"/>
      <w:r>
        <w:rPr>
          <w:rFonts w:ascii="Calibri" w:eastAsia="Calibri" w:hAnsi="Calibri" w:cs="Calibri"/>
        </w:rPr>
        <w:t>. Dyskusje dotyczyły zmian w</w:t>
      </w:r>
      <w:r w:rsidR="0021390E">
        <w:rPr>
          <w:rFonts w:ascii="Calibri" w:eastAsia="Calibri" w:hAnsi="Calibri" w:cs="Calibri"/>
        </w:rPr>
        <w:t> </w:t>
      </w:r>
      <w:r>
        <w:rPr>
          <w:rFonts w:ascii="Calibri" w:eastAsia="Calibri" w:hAnsi="Calibri" w:cs="Calibri"/>
        </w:rPr>
        <w:t>finansowaniu opieki zdrowotnej, przekształceń organizacyjnych oraz przyszłości świadczenia usług zdrowotnych.</w:t>
      </w:r>
    </w:p>
    <w:p w14:paraId="462FDF63" w14:textId="77777777" w:rsidR="00F037ED" w:rsidRDefault="00F037ED">
      <w:pPr>
        <w:jc w:val="both"/>
        <w:rPr>
          <w:rFonts w:ascii="Calibri" w:eastAsia="Calibri" w:hAnsi="Calibri" w:cs="Calibri"/>
        </w:rPr>
      </w:pPr>
    </w:p>
    <w:p w14:paraId="3599A385" w14:textId="426E6CD4" w:rsidR="00F037ED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</w:rPr>
        <w:t>„Wydział Zarządzania Uniwersytetu Warszawskiego już od 20 lat zajmuje się kształceniem kadry zarządczej z</w:t>
      </w:r>
      <w:r w:rsidR="0021390E">
        <w:rPr>
          <w:rFonts w:ascii="Calibri" w:eastAsia="Calibri" w:hAnsi="Calibri" w:cs="Calibri"/>
          <w:i/>
        </w:rPr>
        <w:t> </w:t>
      </w:r>
      <w:r>
        <w:rPr>
          <w:rFonts w:ascii="Calibri" w:eastAsia="Calibri" w:hAnsi="Calibri" w:cs="Calibri"/>
          <w:i/>
        </w:rPr>
        <w:t>sektora ochrony zdrowia oraz rynku farmaceutycznego. Teraz chcemy jeszcze mocniej zaangażować się w takie obszary jak medycyna, farmacja i biznes. Nasza konferencja obfitowała w tematy dotyczące farmacji nowej generacji, wyzwań dla producentów wyrobów medycznych oraz ewolucji opieki zdrowotnej, jednak jest to tylko przedsmak tego, z czym w toku studiów podyplomowych - Marketing Produktów Farmaceutycznych, będą mieli styczność studenci. Przygotowany przez nas roczny program studiów gwarantuje solidną wiedzę i otwiera liczne możliwości na rynku pracy, dając absolwentom przewagę konkurencyjną”</w:t>
      </w:r>
      <w:r>
        <w:rPr>
          <w:rFonts w:ascii="Calibri" w:eastAsia="Calibri" w:hAnsi="Calibri" w:cs="Calibri"/>
        </w:rPr>
        <w:t xml:space="preserve"> - mówi prof. dr hab. Grzegorz Karasiewicz, Dziekan Wydziału Zarządzania UW.</w:t>
      </w:r>
    </w:p>
    <w:p w14:paraId="6222F4E3" w14:textId="77777777" w:rsidR="00F037ED" w:rsidRDefault="00F037ED">
      <w:pPr>
        <w:jc w:val="both"/>
        <w:rPr>
          <w:rFonts w:ascii="Calibri" w:eastAsia="Calibri" w:hAnsi="Calibri" w:cs="Calibri"/>
        </w:rPr>
      </w:pPr>
    </w:p>
    <w:p w14:paraId="7219A4EB" w14:textId="77777777" w:rsidR="00F037ED" w:rsidRDefault="00000000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Marketing produktów farmaceutycznych na WZ UW</w:t>
      </w:r>
    </w:p>
    <w:p w14:paraId="5CD8C042" w14:textId="77777777" w:rsidR="00F037ED" w:rsidRDefault="00F037ED">
      <w:pPr>
        <w:jc w:val="both"/>
        <w:rPr>
          <w:rFonts w:ascii="Calibri" w:eastAsia="Calibri" w:hAnsi="Calibri" w:cs="Calibri"/>
        </w:rPr>
      </w:pPr>
    </w:p>
    <w:p w14:paraId="02548B9B" w14:textId="77777777" w:rsidR="00F037ED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Przyszłość rynku farmaceutycznego będzie kształtowana przez dalszy rozwój innowacyjnych terapii oraz zapewnienie ich dostępności i przystępności cenowej na całym świecie. Kluczowym elementem będzie współpraca między sektorem publicznym a prywatnym, która pozwoli skutecznie stawić czoła wyzwaniom stojącym przed tą branżą. Odpowiedzią na potrzeby biznesowe jest nowy kierunek studiów podyplomowych na Wydziale Zarządzania Uniwersytetu Warszawskiego - Marketing Produktów Farmaceutycznych. Program rozwija umiejętności marketingowe studentów, oferując najwyższy poziom wiedzy zgodny z realiami polskiego rynku.</w:t>
      </w:r>
    </w:p>
    <w:p w14:paraId="007C74CE" w14:textId="77777777" w:rsidR="00F037ED" w:rsidRDefault="00F037ED">
      <w:pPr>
        <w:jc w:val="both"/>
        <w:rPr>
          <w:rFonts w:ascii="Calibri" w:eastAsia="Calibri" w:hAnsi="Calibri" w:cs="Calibri"/>
        </w:rPr>
      </w:pPr>
    </w:p>
    <w:p w14:paraId="4199BEDB" w14:textId="77777777" w:rsidR="00F037ED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Po ukończeniu kierunku, absolwenci mają wiele możliwości zatrudnienia w różnych sektorach rynku farmaceutycznego i branżach pokrewnych. Mogą realizować się w koncernach farmaceutycznych w działach marketingu i sprzedaży, tworząc i realizując strategie marketingowe. W pionach badań i rozwoju (R&amp;D) mogą współpracować przy badaniach nad nowymi lekami i promocji innowacyjnych rozwiązań. Praca w agencjach marketingowych i PR specjalizujących się w farmacji oferuje możliwości tworzenia kampanii marketingowych, </w:t>
      </w:r>
      <w:proofErr w:type="spellStart"/>
      <w:r>
        <w:rPr>
          <w:rFonts w:ascii="Calibri" w:eastAsia="Calibri" w:hAnsi="Calibri" w:cs="Calibri"/>
        </w:rPr>
        <w:t>brandingu</w:t>
      </w:r>
      <w:proofErr w:type="spellEnd"/>
      <w:r>
        <w:rPr>
          <w:rFonts w:ascii="Calibri" w:eastAsia="Calibri" w:hAnsi="Calibri" w:cs="Calibri"/>
        </w:rPr>
        <w:t xml:space="preserve"> i komunikacji PR, a także zarządzania kampaniami online, mediami społecznościowymi, SEO/SEM oraz </w:t>
      </w:r>
      <w:proofErr w:type="spellStart"/>
      <w:r>
        <w:rPr>
          <w:rFonts w:ascii="Calibri" w:eastAsia="Calibri" w:hAnsi="Calibri" w:cs="Calibri"/>
        </w:rPr>
        <w:t>content</w:t>
      </w:r>
      <w:proofErr w:type="spellEnd"/>
      <w:r>
        <w:rPr>
          <w:rFonts w:ascii="Calibri" w:eastAsia="Calibri" w:hAnsi="Calibri" w:cs="Calibri"/>
        </w:rPr>
        <w:t xml:space="preserve"> marketingiem. W hurtowniach farmaceutycznych i firmach dystrybucyjnych, absolwenci mogą zajmować się planowaniem i realizacją strategii sprzedażowych, współpracą z aptekami i szpitalami.</w:t>
      </w:r>
    </w:p>
    <w:p w14:paraId="423BB4FD" w14:textId="77777777" w:rsidR="00F037ED" w:rsidRDefault="00F037ED">
      <w:pPr>
        <w:jc w:val="both"/>
        <w:rPr>
          <w:rFonts w:ascii="Calibri" w:eastAsia="Calibri" w:hAnsi="Calibri" w:cs="Calibri"/>
        </w:rPr>
      </w:pPr>
    </w:p>
    <w:p w14:paraId="079B280D" w14:textId="77777777" w:rsidR="00F037ED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Apteki i sieci apteczne również oferują możliwości w zakresie marketingu lokalnego, tworzenia kampanii promocyjnych i zarządzania relacjami z klientami, a także w optymalizacji asortymentu i promowaniu produktów OTC. Organizacje ochrony zdrowia, takie jak instytuty badawcze i jednostki naukowe, oferują współpracę przy projektach badawczo-rozwojowych i marketingu naukowym, a organizacje pozarządowe zajmują się promocją zdrowia i kampaniami edukacyjnymi.</w:t>
      </w:r>
    </w:p>
    <w:p w14:paraId="665C41E7" w14:textId="77777777" w:rsidR="00F037ED" w:rsidRDefault="00F037ED">
      <w:pPr>
        <w:jc w:val="both"/>
        <w:rPr>
          <w:rFonts w:ascii="Calibri" w:eastAsia="Calibri" w:hAnsi="Calibri" w:cs="Calibri"/>
        </w:rPr>
      </w:pPr>
    </w:p>
    <w:p w14:paraId="7C592A2F" w14:textId="77777777" w:rsidR="00F037ED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Absolwenci mogą również znaleźć pracę w startupach i innowacyjnych projektach, na przykład w firmach biotechnologicznych wprowadzających nowe produkty na rynek, czy w telemedycynie, zajmując się marketingiem usług zdrowotnych online. Możliwości są nieograniczone, a stale rozwijająca się branża farmaceutyczna wciąż potrzebuje ekspertów z aktualną i ugruntowaną wiedzą.</w:t>
      </w:r>
    </w:p>
    <w:p w14:paraId="03B4432A" w14:textId="77777777" w:rsidR="00F037ED" w:rsidRDefault="00F037ED">
      <w:pPr>
        <w:jc w:val="both"/>
        <w:rPr>
          <w:rFonts w:ascii="Calibri" w:eastAsia="Calibri" w:hAnsi="Calibri" w:cs="Calibri"/>
        </w:rPr>
      </w:pPr>
    </w:p>
    <w:p w14:paraId="79654175" w14:textId="77777777" w:rsidR="0021390E" w:rsidRDefault="0021390E">
      <w:pPr>
        <w:jc w:val="both"/>
        <w:rPr>
          <w:rFonts w:ascii="Calibri" w:eastAsia="Calibri" w:hAnsi="Calibri" w:cs="Calibri"/>
        </w:rPr>
      </w:pPr>
    </w:p>
    <w:p w14:paraId="35815FED" w14:textId="37775E31" w:rsidR="00F037ED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***</w:t>
      </w:r>
    </w:p>
    <w:p w14:paraId="3F49CD61" w14:textId="77777777" w:rsidR="00F037ED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Wydział Zarządzania Uniwersytetu Warszawskiego (WZ UW) to najstarszy wydział zarządzania w Polsce i najstarsza w Europie Środkowo-Wschodniej jednostka kształcąca w zakresie zarządzania. WZ UW powstał w 1972 r. Od 1991 r. WZ UW prowadzi prestiżowy program studiów EMBA, od 2007 r. nieprzerwanie otrzymuje prestiżową akredytację AMBA. W 2017 r. WZ UW otrzymał akredytację EQUIS – jedną z 3 najważniejszych akredytacji dla uczelni biznesowych na świecie. W 2022 r. WZ otrzymał akredytację AACSB i tym samym zdobywa tzw. „trzy korony” – trzy najważniejsze międzynarodowe akredytacje. Wydział Zarządzania posiada 5 na 5 tzw. palmes of excellence przyznawanych najlepszym uczelniom i wydziałom biznesowym na świecie. </w:t>
      </w:r>
    </w:p>
    <w:p w14:paraId="0D58EA9E" w14:textId="77777777" w:rsidR="00F037ED" w:rsidRDefault="00F037ED">
      <w:pPr>
        <w:jc w:val="both"/>
        <w:rPr>
          <w:rFonts w:ascii="Calibri" w:eastAsia="Calibri" w:hAnsi="Calibri" w:cs="Calibri"/>
        </w:rPr>
      </w:pPr>
    </w:p>
    <w:p w14:paraId="272D63DA" w14:textId="77777777" w:rsidR="00F037ED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Wydział Zarządzania UW jest dumnym przedstawicielem polskiej edukacji biznesowej na arenie międzynarodowej i kontynuuje swoją misję formowania przyszłych liderów biznesu, gotowych na wyzwania globalnego rynku. WZ UW aktywnie angażuje się we współpracę z biznesem, partnerem wydziału są m.in.: Bank Millennium, Santander Bank, PwC, Henkel, KPMG, Mars, P&amp;G, Bank Pekao, Schneider Electric, L’Oréal, Alior Bank, Makro, Sii. </w:t>
      </w:r>
    </w:p>
    <w:p w14:paraId="135C5B5E" w14:textId="77777777" w:rsidR="00F037ED" w:rsidRDefault="00F037ED">
      <w:pPr>
        <w:jc w:val="both"/>
        <w:rPr>
          <w:rFonts w:ascii="Calibri" w:eastAsia="Calibri" w:hAnsi="Calibri" w:cs="Calibri"/>
        </w:rPr>
      </w:pPr>
    </w:p>
    <w:p w14:paraId="5929EF54" w14:textId="77777777" w:rsidR="00F037ED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Więcej szczegółów na temat działalności wydziału:</w:t>
      </w:r>
    </w:p>
    <w:p w14:paraId="38CF3C9D" w14:textId="77777777" w:rsidR="00F037ED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Strona internetowa: </w:t>
      </w:r>
      <w:hyperlink r:id="rId6">
        <w:r>
          <w:rPr>
            <w:rFonts w:ascii="Calibri" w:eastAsia="Calibri" w:hAnsi="Calibri" w:cs="Calibri"/>
            <w:color w:val="467886"/>
            <w:u w:val="single"/>
          </w:rPr>
          <w:t>https://wz.uw.edu.pl/</w:t>
        </w:r>
      </w:hyperlink>
      <w:r>
        <w:rPr>
          <w:rFonts w:ascii="Calibri" w:eastAsia="Calibri" w:hAnsi="Calibri" w:cs="Calibri"/>
        </w:rPr>
        <w:t xml:space="preserve"> </w:t>
      </w:r>
    </w:p>
    <w:p w14:paraId="01551760" w14:textId="77777777" w:rsidR="00F037ED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LinkedIn: </w:t>
      </w:r>
      <w:hyperlink r:id="rId7">
        <w:r>
          <w:rPr>
            <w:rFonts w:ascii="Calibri" w:eastAsia="Calibri" w:hAnsi="Calibri" w:cs="Calibri"/>
            <w:color w:val="467886"/>
            <w:u w:val="single"/>
          </w:rPr>
          <w:t>https://www.linkedin.com/school/wydzial-zarzadzania-uniwersytet-warszawski/</w:t>
        </w:r>
      </w:hyperlink>
      <w:r>
        <w:rPr>
          <w:rFonts w:ascii="Calibri" w:eastAsia="Calibri" w:hAnsi="Calibri" w:cs="Calibri"/>
        </w:rPr>
        <w:t xml:space="preserve"> </w:t>
      </w:r>
    </w:p>
    <w:p w14:paraId="386E642A" w14:textId="77777777" w:rsidR="00F037ED" w:rsidRDefault="00F037ED">
      <w:pPr>
        <w:jc w:val="both"/>
        <w:rPr>
          <w:rFonts w:ascii="Calibri" w:eastAsia="Calibri" w:hAnsi="Calibri" w:cs="Calibri"/>
        </w:rPr>
      </w:pPr>
    </w:p>
    <w:p w14:paraId="7E057220" w14:textId="77777777" w:rsidR="00F037ED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Kontakt dla mediów:</w:t>
      </w:r>
    </w:p>
    <w:p w14:paraId="31F83D3F" w14:textId="77777777" w:rsidR="00F037E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Elżbieta Pełka</w:t>
      </w:r>
    </w:p>
    <w:p w14:paraId="1B526B09" w14:textId="77777777" w:rsidR="00F037E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e-mail: </w:t>
      </w:r>
      <w:hyperlink r:id="rId8">
        <w:r>
          <w:rPr>
            <w:rFonts w:ascii="Calibri" w:eastAsia="Calibri" w:hAnsi="Calibri" w:cs="Calibri"/>
            <w:color w:val="467886"/>
            <w:u w:val="single"/>
          </w:rPr>
          <w:t>elzbieta.pelka@pelkaipartnerzy.pl</w:t>
        </w:r>
      </w:hyperlink>
      <w:r>
        <w:rPr>
          <w:rFonts w:ascii="Calibri" w:eastAsia="Calibri" w:hAnsi="Calibri" w:cs="Calibri"/>
        </w:rPr>
        <w:t xml:space="preserve"> </w:t>
      </w:r>
    </w:p>
    <w:p w14:paraId="43E1073E" w14:textId="77777777" w:rsidR="00F037ED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tel.: (+48) 604 276 688</w:t>
      </w:r>
    </w:p>
    <w:sectPr w:rsidR="00F037ED">
      <w:headerReference w:type="default" r:id="rId9"/>
      <w:footerReference w:type="default" r:id="rId10"/>
      <w:pgSz w:w="11905" w:h="16837"/>
      <w:pgMar w:top="1843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162DB2" w14:textId="77777777" w:rsidR="00E76333" w:rsidRDefault="00E76333">
      <w:r>
        <w:separator/>
      </w:r>
    </w:p>
  </w:endnote>
  <w:endnote w:type="continuationSeparator" w:id="0">
    <w:p w14:paraId="75916089" w14:textId="77777777" w:rsidR="00E76333" w:rsidRDefault="00E76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lay">
    <w:charset w:val="00"/>
    <w:family w:val="auto"/>
    <w:pitch w:val="default"/>
    <w:embedRegular r:id="rId1" w:fontKey="{F7B6298E-95AC-48C4-924D-CCDA71812E0C}"/>
    <w:embedBold r:id="rId2" w:fontKey="{2E6D0596-D3CD-47FD-A43B-C5EAE0F7E61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BD9E79E7-32A5-45DA-83D4-2354257036FC}"/>
    <w:embedItalic r:id="rId4" w:fontKey="{B58DC224-1035-4E53-A10F-BD826294BCC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216FFC6A-9A48-4327-A21E-EC3612F5132F}"/>
    <w:embedBold r:id="rId6" w:fontKey="{9F0D1547-B402-4A35-A546-A5440E860F89}"/>
    <w:embedItalic r:id="rId7" w:fontKey="{1ABFA7D8-DCAE-476B-98B8-C4E0D753B21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5A8D5676-CB7B-4105-898D-10E89BC2934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B1B367BA-B59A-46D7-8DF2-06E1C87E98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97D1C4" w14:textId="77777777" w:rsidR="00F037E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Quattrocento Sans" w:eastAsia="Quattrocento Sans" w:hAnsi="Quattrocento Sans" w:cs="Quattrocento Sans"/>
        <w:color w:val="1F3864"/>
        <w:sz w:val="18"/>
        <w:szCs w:val="18"/>
      </w:rPr>
    </w:pPr>
    <w:r>
      <w:rPr>
        <w:rFonts w:ascii="Quattrocento Sans" w:eastAsia="Quattrocento Sans" w:hAnsi="Quattrocento Sans" w:cs="Quattrocento Sans"/>
        <w:color w:val="1F3864"/>
        <w:sz w:val="18"/>
        <w:szCs w:val="18"/>
      </w:rPr>
      <w:t>Wydział Zarządzania Uniwersytetu Warszawskiego</w:t>
    </w:r>
  </w:p>
  <w:p w14:paraId="27571436" w14:textId="77777777" w:rsidR="00F037E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Quattrocento Sans" w:eastAsia="Quattrocento Sans" w:hAnsi="Quattrocento Sans" w:cs="Quattrocento Sans"/>
        <w:color w:val="1F3864"/>
      </w:rPr>
    </w:pPr>
    <w:r>
      <w:rPr>
        <w:rFonts w:ascii="Quattrocento Sans" w:eastAsia="Quattrocento Sans" w:hAnsi="Quattrocento Sans" w:cs="Quattrocento Sans"/>
        <w:color w:val="1F3864"/>
        <w:sz w:val="18"/>
        <w:szCs w:val="18"/>
      </w:rPr>
      <w:t>ul. Szturmowa 1/3, 02-678 Warszawa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B77D87" w14:textId="77777777" w:rsidR="00E76333" w:rsidRDefault="00E76333">
      <w:r>
        <w:separator/>
      </w:r>
    </w:p>
  </w:footnote>
  <w:footnote w:type="continuationSeparator" w:id="0">
    <w:p w14:paraId="78FD7C52" w14:textId="77777777" w:rsidR="00E76333" w:rsidRDefault="00E763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AEE26E" w14:textId="77777777" w:rsidR="00F037E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rFonts w:ascii="Arial" w:eastAsia="Arial" w:hAnsi="Arial" w:cs="Arial"/>
        <w:noProof/>
        <w:color w:val="000000"/>
      </w:rPr>
      <w:drawing>
        <wp:inline distT="0" distB="0" distL="0" distR="0" wp14:anchorId="7EB8018E" wp14:editId="742090DB">
          <wp:extent cx="1809750" cy="5048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750" cy="504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7ED"/>
    <w:rsid w:val="0021390E"/>
    <w:rsid w:val="00637E49"/>
    <w:rsid w:val="00E76333"/>
    <w:rsid w:val="00F0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DEA81"/>
  <w15:docId w15:val="{65B153E2-8DA2-439B-A3DD-1E148EE8B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Play" w:eastAsia="Play" w:hAnsi="Play" w:cs="Play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zbieta.pelka@pelkaipartnerzy.p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linkedin.com/school/wydzial-zarzadzania-uniwersytet-warszawski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z.uw.edu.pl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1192</Words>
  <Characters>7157</Characters>
  <Application>Microsoft Office Word</Application>
  <DocSecurity>0</DocSecurity>
  <Lines>59</Lines>
  <Paragraphs>16</Paragraphs>
  <ScaleCrop>false</ScaleCrop>
  <Company/>
  <LinksUpToDate>false</LinksUpToDate>
  <CharactersWithSpaces>8333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Szymon Łagowski</cp:lastModifiedBy>
  <cp:revision>2</cp:revision>
  <dcterms:created xsi:type="dcterms:W3CDTF">2024-06-06T09:29:00Z</dcterms:created>
  <dcterms:modified xsi:type="dcterms:W3CDTF">2024-06-06T09:30:00Z</dcterms:modified>
</cp:coreProperties>
</file>